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D356" w14:textId="6062F9DA" w:rsidR="00D15737" w:rsidRDefault="0018459D">
      <w:pPr>
        <w:pStyle w:val="Normln"/>
        <w:shd w:val="clear" w:color="auto" w:fill="FFFFFF"/>
        <w:spacing w:after="180" w:line="240" w:lineRule="auto"/>
        <w:outlineLvl w:val="0"/>
        <w:rPr>
          <w:rFonts w:ascii="inherit" w:eastAsia="Times New Roman" w:hAnsi="inherit" w:cs="Arial"/>
          <w:color w:val="092458"/>
          <w:kern w:val="3"/>
          <w:sz w:val="54"/>
          <w:szCs w:val="54"/>
          <w:lang w:eastAsia="cs-CZ"/>
        </w:rPr>
      </w:pPr>
      <w:r>
        <w:rPr>
          <w:rFonts w:ascii="inherit" w:eastAsia="Times New Roman" w:hAnsi="inherit" w:cs="Arial"/>
          <w:color w:val="092458"/>
          <w:kern w:val="3"/>
          <w:sz w:val="54"/>
          <w:szCs w:val="54"/>
          <w:lang w:eastAsia="cs-CZ"/>
        </w:rPr>
        <w:t>V</w:t>
      </w:r>
      <w:r w:rsidR="007E0077">
        <w:rPr>
          <w:rFonts w:ascii="inherit" w:eastAsia="Times New Roman" w:hAnsi="inherit" w:cs="Arial"/>
          <w:color w:val="092458"/>
          <w:kern w:val="3"/>
          <w:sz w:val="54"/>
          <w:szCs w:val="54"/>
          <w:lang w:eastAsia="cs-CZ"/>
        </w:rPr>
        <w:t>stupní i další pracovně-lékařské prohlídky uprchlíkům z Ukrajiny lze ihned provádět bez výpisu z dokumentace</w:t>
      </w:r>
    </w:p>
    <w:p w14:paraId="1882442A" w14:textId="77777777" w:rsidR="00D15737" w:rsidRDefault="007E0077">
      <w:pPr>
        <w:pStyle w:val="Normln"/>
        <w:shd w:val="clear" w:color="auto" w:fill="FFFFFF"/>
        <w:spacing w:line="240" w:lineRule="auto"/>
      </w:pPr>
      <w:r>
        <w:rPr>
          <w:rStyle w:val="Standardnpsmoodstavce"/>
          <w:rFonts w:ascii="Arial" w:eastAsia="Times New Roman" w:hAnsi="Arial" w:cs="Arial"/>
          <w:color w:val="0099E5"/>
          <w:sz w:val="24"/>
          <w:szCs w:val="24"/>
          <w:lang w:eastAsia="cs-CZ"/>
        </w:rPr>
        <w:t> 9.3.2022</w:t>
      </w:r>
      <w:hyperlink r:id="rId6" w:history="1">
        <w:r>
          <w:rPr>
            <w:rStyle w:val="Standardnpsmoodstavce"/>
            <w:rFonts w:ascii="Arial" w:eastAsia="Times New Roman" w:hAnsi="Arial" w:cs="Arial"/>
            <w:color w:val="FFFFFF"/>
            <w:sz w:val="21"/>
            <w:szCs w:val="21"/>
            <w:u w:val="single"/>
            <w:shd w:val="clear" w:color="auto" w:fill="0099E5"/>
            <w:lang w:eastAsia="cs-CZ"/>
          </w:rPr>
          <w:t> Tisk</w:t>
        </w:r>
      </w:hyperlink>
    </w:p>
    <w:p w14:paraId="587DC264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Pro uprchlíky z Ukrajiny jsou v současné době nezbytné, podmínky pro jejich provádění byly rozeslány všem r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egionálním předsedům, podrobně jsou rozvedeny v dopise předsedů SPL, HK ČR a Svazu obchodu, potřebné doklady v přílohách.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Datum: 9. 3. 2022 8:42:26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Předmět: Pracovně-lékařské prohlídky uprchlíků z Ukrajiny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Vážená paní hlavní hygieničko, vážený pane náměstk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u,</w:t>
      </w:r>
    </w:p>
    <w:p w14:paraId="6B976CF0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vzhledem ke zvýšenému zájmu občanů Ukrajiny o práci v ČR se v posledních dnech setkáváme se situací, kdy zaměstnavatel, který je flexibilně ochoten a schopen zaměstnat uprchlíka z Ukrajiny, opakovaně naráží na to, že jeho poskytovatel pracovně-lékařskýc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h služeb odmítne této osobě provést vstupní prohlídku do zaměstnání z důvodu, že nemá výpis z dokumentace od registrujícího praktického lékaře.</w:t>
      </w:r>
    </w:p>
    <w:p w14:paraId="2B3B21A2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Podmínkou provedení pracovně-lékařské prohlídky (pokud ji neprovádí sám registrující praktický lékař) je skutečn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ě výpis ze zdravotní dokumentace od registrujícího praktického lékaře. I v dobách normálních se ale stává, že </w:t>
      </w:r>
      <w:proofErr w:type="gramStart"/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pracovně- lékařskou</w:t>
      </w:r>
      <w:proofErr w:type="gramEnd"/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prohlídku potřebuje osoba, která registrujícího PL v ČR nemá. Zákon na takové situace pamatuje a má pro takové situace toto ře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šení: pokud nemá uchazeč o zaměstnání registrujícího PL, lze prohlídku provést na základě odebrané anamnézy a fyzikálního vyšetření.</w:t>
      </w:r>
    </w:p>
    <w:p w14:paraId="168613CE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Jsme přesvědčeni, že není nejmenší důvod, aby tento postup nebyl využit v době válečného konfliktu a uprchlické krize, kdy 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je zcela zjevné, že uprchlíci ucházející se o zaměstnání evidentně nejsou schopni výpis ze zdravotní dokumentace dodat(!). Zájem na jejich zaměstnání je zcela prioritní a není důvod ho komplikovat nesmyslnými formalitami.</w:t>
      </w:r>
    </w:p>
    <w:p w14:paraId="30B2720B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V této situaci lze tedy doporučit </w:t>
      </w:r>
      <w:proofErr w:type="gramStart"/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následující  postup</w:t>
      </w:r>
      <w:proofErr w:type="gramEnd"/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:</w:t>
      </w:r>
    </w:p>
    <w:p w14:paraId="48CDF047" w14:textId="77777777" w:rsidR="00D15737" w:rsidRDefault="007E0077">
      <w:pPr>
        <w:pStyle w:val="Normln"/>
        <w:shd w:val="clear" w:color="auto" w:fill="FFFFFF"/>
        <w:spacing w:after="180" w:line="240" w:lineRule="auto"/>
      </w:pPr>
      <w:r>
        <w:rPr>
          <w:rStyle w:val="Standardnpsmoodstavce"/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V případě, že uchazeč o zaměstnání/zaměstnanec NEMÁ REGISTRUJÍCÍHO PRAKTICKÉHO LÉKAŘE, zaznamená posuzující lékař tuto skutečnost do zdravotní dokumentace (formou čestného prohlášení- </w:t>
      </w:r>
      <w:hyperlink r:id="rId7" w:history="1">
        <w:r>
          <w:rPr>
            <w:rStyle w:val="Standardnpsmoodstavce"/>
            <w:rFonts w:ascii="Arial" w:eastAsia="Times New Roman" w:hAnsi="Arial" w:cs="Arial"/>
            <w:b/>
            <w:bCs/>
            <w:color w:val="0099E5"/>
            <w:sz w:val="24"/>
            <w:szCs w:val="24"/>
            <w:u w:val="single"/>
            <w:lang w:eastAsia="cs-CZ"/>
          </w:rPr>
          <w:t>ZDE</w:t>
        </w:r>
      </w:hyperlink>
      <w:r>
        <w:rPr>
          <w:rStyle w:val="Standardnpsmoodstavce"/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) a záznam nechá posuzovanou osobou podepsat. </w:t>
      </w:r>
    </w:p>
    <w:p w14:paraId="1F87BD4B" w14:textId="77777777" w:rsidR="00D15737" w:rsidRDefault="007E0077">
      <w:pPr>
        <w:pStyle w:val="Normln"/>
        <w:shd w:val="clear" w:color="auto" w:fill="FFFFFF"/>
        <w:spacing w:after="180" w:line="240" w:lineRule="auto"/>
      </w:pPr>
      <w:r>
        <w:rPr>
          <w:rStyle w:val="Standardnpsmoodstavce"/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Zároveň posuzovaná osoba vyplní anamnestický dotazník, který se stává součástí zdravotnické dokumentace. </w:t>
      </w:r>
    </w:p>
    <w:p w14:paraId="3575B67F" w14:textId="77777777" w:rsidR="00D15737" w:rsidRDefault="007E0077">
      <w:pPr>
        <w:pStyle w:val="Normln"/>
        <w:shd w:val="clear" w:color="auto" w:fill="FFFFFF"/>
        <w:spacing w:after="180" w:line="240" w:lineRule="auto"/>
      </w:pPr>
      <w:r>
        <w:rPr>
          <w:rStyle w:val="Standardnpsmoodstavce"/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 xml:space="preserve">Posuzující lékař provede vyšetření, které může být </w:t>
      </w:r>
      <w:r>
        <w:rPr>
          <w:rStyle w:val="Standardnpsmoodstavce"/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 xml:space="preserve">podrobnější než obvykle a v případě potřeby nahradí nedodané informace z výpisu ze zdravotnické dokumentace registrujícího praktického lékaře. Tyto náklady za indikovaná </w:t>
      </w:r>
      <w:r>
        <w:rPr>
          <w:rStyle w:val="Standardnpsmoodstavce"/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lastRenderedPageBreak/>
        <w:t>odborná vyšetření jsou zahrnuty do pracovnělékařské prohlídky a hradí je zaměstnavatel</w:t>
      </w:r>
      <w:r>
        <w:rPr>
          <w:rStyle w:val="Standardnpsmoodstavce"/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.</w:t>
      </w:r>
    </w:p>
    <w:p w14:paraId="7FE6EE37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Takto budou dnes informováni praktičtí lékaři (členové SPL ČR) na webu SPL ČR, ale bylo by velmi vhodné, kdyby takový postup oficiálně doporučilo a podpořilo MZ a zveřejnilo ho oficiálně na svých webových stránkách.</w:t>
      </w:r>
    </w:p>
    <w:p w14:paraId="594DAA24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Doplňujeme, že 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pracovně-lékařské prohlídky pro kategorie I. může provádět jakýkoliv praktický lékař, který uprchlíka převezme do péče. Pro kategorie II. a vyšší prohlídku může provést pouze smluvní poskytovatel pracovně-lékařských služeb, který uzavřel se zaměstnavatelem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 xml:space="preserve"> smlouvu. V případě nutnosti lze takovou smlouvu uzavřít s každým VPL, třeba individuálně, pro jednoho zaměstnance.</w:t>
      </w:r>
    </w:p>
    <w:p w14:paraId="13851227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 </w:t>
      </w:r>
    </w:p>
    <w:p w14:paraId="73162B4C" w14:textId="77777777" w:rsidR="00D15737" w:rsidRDefault="007E0077">
      <w:pPr>
        <w:pStyle w:val="Normln"/>
        <w:shd w:val="clear" w:color="auto" w:fill="FFFFFF"/>
        <w:spacing w:after="180" w:line="240" w:lineRule="auto"/>
      </w:pPr>
      <w:r>
        <w:rPr>
          <w:rStyle w:val="Standardnpsmoodstavce"/>
          <w:rFonts w:ascii="Arial" w:eastAsia="Times New Roman" w:hAnsi="Arial" w:cs="Arial"/>
          <w:color w:val="252525"/>
          <w:sz w:val="24"/>
          <w:szCs w:val="24"/>
          <w:lang w:eastAsia="cs-CZ"/>
        </w:rPr>
        <w:t>Přikládáme část stanoviska JUDr. Adama Doležala </w:t>
      </w:r>
      <w:hyperlink r:id="rId8" w:history="1">
        <w:r>
          <w:rPr>
            <w:rStyle w:val="Standardnpsmoodstavce"/>
            <w:rFonts w:ascii="Arial" w:eastAsia="Times New Roman" w:hAnsi="Arial" w:cs="Arial"/>
            <w:color w:val="0099E5"/>
            <w:sz w:val="24"/>
            <w:szCs w:val="24"/>
            <w:u w:val="single"/>
            <w:lang w:eastAsia="cs-CZ"/>
          </w:rPr>
          <w:t>ZDE</w:t>
        </w:r>
      </w:hyperlink>
      <w:r>
        <w:rPr>
          <w:rStyle w:val="Standardnpsmoodstavce"/>
          <w:rFonts w:ascii="Arial" w:eastAsia="Times New Roman" w:hAnsi="Arial" w:cs="Arial"/>
          <w:color w:val="252525"/>
          <w:sz w:val="24"/>
          <w:szCs w:val="24"/>
          <w:lang w:eastAsia="cs-CZ"/>
        </w:rPr>
        <w:t>, odkazy na platnou legislativu </w:t>
      </w:r>
      <w:hyperlink r:id="rId9" w:history="1">
        <w:r>
          <w:rPr>
            <w:rStyle w:val="Standardnpsmoodstavce"/>
            <w:rFonts w:ascii="Arial" w:eastAsia="Times New Roman" w:hAnsi="Arial" w:cs="Arial"/>
            <w:color w:val="0099E5"/>
            <w:sz w:val="24"/>
            <w:szCs w:val="24"/>
            <w:u w:val="single"/>
            <w:lang w:eastAsia="cs-CZ"/>
          </w:rPr>
          <w:t>ZDE</w:t>
        </w:r>
      </w:hyperlink>
      <w:r>
        <w:rPr>
          <w:rStyle w:val="Standardnpsmoodstavce"/>
          <w:rFonts w:ascii="Arial" w:eastAsia="Times New Roman" w:hAnsi="Arial" w:cs="Arial"/>
          <w:color w:val="252525"/>
          <w:sz w:val="24"/>
          <w:szCs w:val="24"/>
          <w:lang w:eastAsia="cs-CZ"/>
        </w:rPr>
        <w:t> a </w:t>
      </w:r>
      <w:r>
        <w:rPr>
          <w:rStyle w:val="Standardnpsmoodstavce"/>
          <w:rFonts w:ascii="Arial" w:eastAsia="Times New Roman" w:hAnsi="Arial" w:cs="Arial"/>
          <w:b/>
          <w:bCs/>
          <w:color w:val="252525"/>
          <w:sz w:val="24"/>
          <w:szCs w:val="24"/>
          <w:lang w:eastAsia="cs-CZ"/>
        </w:rPr>
        <w:t>anamnestický dotazník v ukrajinštině</w:t>
      </w:r>
      <w:r>
        <w:rPr>
          <w:rStyle w:val="Standardnpsmoodstavce"/>
          <w:rFonts w:ascii="Arial" w:eastAsia="Times New Roman" w:hAnsi="Arial" w:cs="Arial"/>
          <w:color w:val="252525"/>
          <w:sz w:val="24"/>
          <w:szCs w:val="24"/>
          <w:lang w:eastAsia="cs-CZ"/>
        </w:rPr>
        <w:t> </w:t>
      </w:r>
      <w:hyperlink r:id="rId10" w:history="1">
        <w:r>
          <w:rPr>
            <w:rStyle w:val="Standardnpsmoodstavce"/>
            <w:rFonts w:ascii="Arial" w:eastAsia="Times New Roman" w:hAnsi="Arial" w:cs="Arial"/>
            <w:color w:val="0099E5"/>
            <w:sz w:val="24"/>
            <w:szCs w:val="24"/>
            <w:u w:val="single"/>
            <w:lang w:eastAsia="cs-CZ"/>
          </w:rPr>
          <w:t>ZDE</w:t>
        </w:r>
      </w:hyperlink>
      <w:r>
        <w:rPr>
          <w:rStyle w:val="Standardnpsmoodstavce"/>
          <w:rFonts w:ascii="Arial" w:eastAsia="Times New Roman" w:hAnsi="Arial" w:cs="Arial"/>
          <w:color w:val="252525"/>
          <w:sz w:val="24"/>
          <w:szCs w:val="24"/>
          <w:lang w:eastAsia="cs-CZ"/>
        </w:rPr>
        <w:t> který je pro uvedenou situaci zcela dostačující.</w:t>
      </w:r>
    </w:p>
    <w:p w14:paraId="3487E73D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Děkujeme za podporu naší žádosti.</w:t>
      </w:r>
    </w:p>
    <w:p w14:paraId="5CBEE6E6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S pozdravem</w:t>
      </w:r>
    </w:p>
    <w:p w14:paraId="22ACFA4C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Petr Šonka, předseda Sdružení praktických lékařů ČR</w:t>
      </w:r>
    </w:p>
    <w:p w14:paraId="610AE8EF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Ivo Hlaváč, předseda sekce zdravotnictví, Hospodářská komora ČR</w:t>
      </w:r>
    </w:p>
    <w:p w14:paraId="7A9702EB" w14:textId="77777777" w:rsidR="00D15737" w:rsidRDefault="007E0077">
      <w:pPr>
        <w:pStyle w:val="Normln"/>
        <w:shd w:val="clear" w:color="auto" w:fill="FFFFFF"/>
        <w:spacing w:after="180" w:line="240" w:lineRule="auto"/>
        <w:rPr>
          <w:rFonts w:ascii="Arial" w:eastAsia="Times New Roman" w:hAnsi="Arial" w:cs="Arial"/>
          <w:color w:val="252525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Tomáš Prouza, prezident Svazu ob</w:t>
      </w:r>
      <w:r>
        <w:rPr>
          <w:rFonts w:ascii="Arial" w:eastAsia="Times New Roman" w:hAnsi="Arial" w:cs="Arial"/>
          <w:color w:val="252525"/>
          <w:sz w:val="24"/>
          <w:szCs w:val="24"/>
          <w:lang w:eastAsia="cs-CZ"/>
        </w:rPr>
        <w:t>chodu a cestovního ruchu</w:t>
      </w:r>
    </w:p>
    <w:p w14:paraId="0E57F95F" w14:textId="77777777" w:rsidR="00D15737" w:rsidRDefault="00D15737">
      <w:pPr>
        <w:pStyle w:val="Normln"/>
      </w:pPr>
    </w:p>
    <w:sectPr w:rsidR="00D157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6C734" w14:textId="77777777" w:rsidR="007E0077" w:rsidRDefault="007E0077">
      <w:pPr>
        <w:spacing w:after="0" w:line="240" w:lineRule="auto"/>
      </w:pPr>
      <w:r>
        <w:separator/>
      </w:r>
    </w:p>
  </w:endnote>
  <w:endnote w:type="continuationSeparator" w:id="0">
    <w:p w14:paraId="534D4858" w14:textId="77777777" w:rsidR="007E0077" w:rsidRDefault="007E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E341" w14:textId="77777777" w:rsidR="007E0077" w:rsidRDefault="007E00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7963B0" w14:textId="77777777" w:rsidR="007E0077" w:rsidRDefault="007E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5737"/>
    <w:rsid w:val="0018459D"/>
    <w:rsid w:val="007E0077"/>
    <w:rsid w:val="00D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EF6A"/>
  <w15:docId w15:val="{1F5B66B3-8B2D-45FA-91B6-2CD634DA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 1"/>
    <w:basedOn w:val="Normln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Normln">
    <w:name w:val="Normální"/>
    <w:pPr>
      <w:suppressAutoHyphens/>
    </w:pPr>
  </w:style>
  <w:style w:type="character" w:customStyle="1" w:styleId="Standardnpsmoodstavce">
    <w:name w:val="Standardní písmo odstavce"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bCs/>
      <w:kern w:val="3"/>
      <w:sz w:val="48"/>
      <w:szCs w:val="48"/>
      <w:lang w:eastAsia="cs-CZ"/>
    </w:rPr>
  </w:style>
  <w:style w:type="character" w:customStyle="1" w:styleId="Hypertextovodkaz">
    <w:name w:val="Hypertextový odkaz"/>
    <w:basedOn w:val="Standardnpsmoodstavce"/>
    <w:rPr>
      <w:color w:val="0000FF"/>
      <w:u w:val="single"/>
    </w:rPr>
  </w:style>
  <w:style w:type="paragraph" w:customStyle="1" w:styleId="Normlnweb">
    <w:name w:val="Normální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iln">
    <w:name w:val="Silné"/>
    <w:basedOn w:val="Standardnpsmoodstav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lcr.cz/wp-content/uploads/2022/03/V&#253;&#328;atek-z-pr&#225;vn&#237;ho-stanoviska-JUDr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lcr.cz/wp-content/uploads/2022/03/&#268;estn&#233;-prohl&#225;&#353;en&#237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lcr.cz/vstupni-i-dalsi-pracovne-lekarske-prohlidky-uprchlikum-z-ukrajiny-lze-ihned-provadet-bez-vypisu-z-dokumentace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plcr.cz/wp-content/uploads/2022/03/dotazn&#237;k_UKR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plcr.cz/wp-content/uploads/2022/03/V&#253;&#328;atky-z-platn&#233;-legislativy-PL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Matousek</dc:creator>
  <dc:description/>
  <cp:lastModifiedBy>Jirka Matousek</cp:lastModifiedBy>
  <cp:revision>2</cp:revision>
  <dcterms:created xsi:type="dcterms:W3CDTF">2022-03-22T10:17:00Z</dcterms:created>
  <dcterms:modified xsi:type="dcterms:W3CDTF">2022-03-22T10:17:00Z</dcterms:modified>
</cp:coreProperties>
</file>